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9C" w:rsidRPr="00E7539C" w:rsidRDefault="00E7539C" w:rsidP="00E7539C">
      <w:pPr>
        <w:jc w:val="center"/>
        <w:rPr>
          <w:b/>
        </w:rPr>
      </w:pPr>
      <w:r w:rsidRPr="00E7539C">
        <w:rPr>
          <w:b/>
        </w:rPr>
        <w:t>ISO TC20/SC14/WG3</w:t>
      </w:r>
    </w:p>
    <w:p w:rsidR="00E7539C" w:rsidRPr="00E7539C" w:rsidRDefault="00E7539C" w:rsidP="00E7539C">
      <w:pPr>
        <w:jc w:val="center"/>
        <w:rPr>
          <w:b/>
        </w:rPr>
      </w:pPr>
      <w:r w:rsidRPr="00E7539C">
        <w:rPr>
          <w:b/>
        </w:rPr>
        <w:t>Spring Plenary Meeting</w:t>
      </w:r>
    </w:p>
    <w:p w:rsidR="00B76F18" w:rsidRDefault="00E7539C" w:rsidP="00E7539C">
      <w:pPr>
        <w:jc w:val="center"/>
        <w:rPr>
          <w:b/>
        </w:rPr>
      </w:pPr>
      <w:r w:rsidRPr="00E7539C">
        <w:rPr>
          <w:b/>
        </w:rPr>
        <w:t>Guidance and Objectives</w:t>
      </w:r>
    </w:p>
    <w:p w:rsidR="00E7539C" w:rsidRDefault="00E7539C" w:rsidP="00E7539C">
      <w:pPr>
        <w:rPr>
          <w:b/>
        </w:rPr>
      </w:pPr>
      <w:r>
        <w:rPr>
          <w:b/>
        </w:rPr>
        <w:t>WG3 Meetings will focus on governance, administration, and strategy for the future.  The p</w:t>
      </w:r>
      <w:r w:rsidR="00945341">
        <w:rPr>
          <w:b/>
        </w:rPr>
        <w:t xml:space="preserve">roposed structure is as follows.  </w:t>
      </w:r>
      <w:r w:rsidR="00945341" w:rsidRPr="00945341">
        <w:rPr>
          <w:b/>
        </w:rPr>
        <w:t xml:space="preserve"> </w:t>
      </w:r>
      <w:r w:rsidR="00945341">
        <w:rPr>
          <w:b/>
        </w:rPr>
        <w:t>Each area will be assigned to an active member of the working group or representative of a specific national delegation.   Suggested assignments are in parentheses.</w:t>
      </w:r>
    </w:p>
    <w:p w:rsidR="00E7539C" w:rsidRDefault="00E7539C" w:rsidP="00E7539C">
      <w:pPr>
        <w:pStyle w:val="ListParagraph"/>
        <w:numPr>
          <w:ilvl w:val="0"/>
          <w:numId w:val="1"/>
        </w:numPr>
        <w:rPr>
          <w:b/>
        </w:rPr>
      </w:pPr>
      <w:r w:rsidRPr="00E7539C">
        <w:rPr>
          <w:b/>
        </w:rPr>
        <w:t>Flight Dynamics and Astrodynamics</w:t>
      </w:r>
      <w:r w:rsidR="00945341">
        <w:rPr>
          <w:b/>
        </w:rPr>
        <w:t xml:space="preserve"> (United States)</w:t>
      </w:r>
    </w:p>
    <w:p w:rsidR="00674364" w:rsidRPr="006D47A3" w:rsidRDefault="00674364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Orbit determination and estimation — Process for describing techniques [Tech Spec]</w:t>
      </w:r>
    </w:p>
    <w:p w:rsidR="006D47A3" w:rsidRPr="00F13F48" w:rsidRDefault="006D47A3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Avoiding collisions with orbiting objects [Tech Rep]</w:t>
      </w:r>
    </w:p>
    <w:p w:rsidR="00F13F48" w:rsidRPr="00F13F48" w:rsidRDefault="00F13F48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Estimation of orbit lifetime</w:t>
      </w:r>
    </w:p>
    <w:p w:rsidR="00F13F48" w:rsidRPr="00F13F48" w:rsidRDefault="00F13F48" w:rsidP="00F13F48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data and information transfer systems — Orbit data messages</w:t>
      </w:r>
    </w:p>
    <w:p w:rsidR="00F13F48" w:rsidRPr="00E03713" w:rsidRDefault="00F13F48" w:rsidP="00CA2DF1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Re-entry safety control for unmanned spacecraft and launch vehicle orbital stages</w:t>
      </w:r>
    </w:p>
    <w:p w:rsidR="00E03713" w:rsidRPr="00E03713" w:rsidRDefault="00E03713" w:rsidP="00CA2DF1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 w:rsidRPr="00E03713">
        <w:rPr>
          <w:rFonts w:ascii="Calibri" w:eastAsia="Times New Roman" w:hAnsi="Calibri" w:cs="Times New Roman"/>
          <w:i/>
          <w:color w:val="FF0000"/>
        </w:rPr>
        <w:t xml:space="preserve">Best Practices for </w:t>
      </w:r>
      <w:r>
        <w:rPr>
          <w:rFonts w:ascii="Calibri" w:eastAsia="Times New Roman" w:hAnsi="Calibri" w:cs="Times New Roman"/>
          <w:i/>
          <w:color w:val="FF0000"/>
        </w:rPr>
        <w:t>Small Satellite Operations</w:t>
      </w:r>
    </w:p>
    <w:p w:rsidR="00E03713" w:rsidRPr="00E03713" w:rsidRDefault="00E03713" w:rsidP="00CA2DF1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rFonts w:ascii="Calibri" w:eastAsia="Times New Roman" w:hAnsi="Calibri" w:cs="Times New Roman"/>
          <w:i/>
          <w:color w:val="FF0000"/>
        </w:rPr>
        <w:t>Orbit and Operational Data Transfer</w:t>
      </w:r>
    </w:p>
    <w:p w:rsidR="00E03713" w:rsidRPr="00E03713" w:rsidRDefault="00E03713" w:rsidP="00E03713">
      <w:pPr>
        <w:pStyle w:val="ListParagraph"/>
        <w:numPr>
          <w:ilvl w:val="2"/>
          <w:numId w:val="1"/>
        </w:numPr>
        <w:rPr>
          <w:b/>
          <w:i/>
          <w:color w:val="FF0000"/>
        </w:rPr>
      </w:pPr>
      <w:r>
        <w:rPr>
          <w:rFonts w:ascii="Calibri" w:eastAsia="Times New Roman" w:hAnsi="Calibri" w:cs="Times New Roman"/>
          <w:i/>
          <w:color w:val="FF0000"/>
        </w:rPr>
        <w:t>Orbit Data Messages</w:t>
      </w:r>
    </w:p>
    <w:p w:rsidR="00E03713" w:rsidRPr="00E03713" w:rsidRDefault="00E03713" w:rsidP="00E03713">
      <w:pPr>
        <w:pStyle w:val="ListParagraph"/>
        <w:numPr>
          <w:ilvl w:val="2"/>
          <w:numId w:val="1"/>
        </w:numPr>
        <w:rPr>
          <w:b/>
          <w:i/>
          <w:color w:val="FF0000"/>
        </w:rPr>
      </w:pPr>
      <w:r>
        <w:rPr>
          <w:rFonts w:ascii="Calibri" w:eastAsia="Times New Roman" w:hAnsi="Calibri" w:cs="Times New Roman"/>
          <w:i/>
          <w:color w:val="FF0000"/>
        </w:rPr>
        <w:t>Conjunction Data Message</w:t>
      </w:r>
    </w:p>
    <w:p w:rsidR="00E7539C" w:rsidRDefault="00E7539C" w:rsidP="00E7539C">
      <w:pPr>
        <w:pStyle w:val="ListParagraph"/>
        <w:numPr>
          <w:ilvl w:val="0"/>
          <w:numId w:val="1"/>
        </w:numPr>
        <w:rPr>
          <w:b/>
        </w:rPr>
      </w:pPr>
      <w:r w:rsidRPr="00E7539C">
        <w:rPr>
          <w:b/>
        </w:rPr>
        <w:t>Flight  and Spacecraft System Operations</w:t>
      </w:r>
      <w:r w:rsidR="00945341">
        <w:rPr>
          <w:b/>
        </w:rPr>
        <w:t xml:space="preserve"> (Japan)</w:t>
      </w:r>
    </w:p>
    <w:p w:rsidR="00674364" w:rsidRPr="008B649C" w:rsidRDefault="00674364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Space experiments — General requirements</w:t>
      </w:r>
    </w:p>
    <w:p w:rsidR="00632F26" w:rsidRPr="00632F26" w:rsidRDefault="008B649C" w:rsidP="00632F26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 xml:space="preserve">Space systems — Unmanned spacecraft residual propellant mass  estimation for disposal </w:t>
      </w:r>
      <w:proofErr w:type="spellStart"/>
      <w:r w:rsidRPr="00674364">
        <w:rPr>
          <w:rFonts w:ascii="Calibri" w:eastAsia="Times New Roman" w:hAnsi="Calibri" w:cs="Times New Roman"/>
          <w:color w:val="000000"/>
        </w:rPr>
        <w:t>manoeuvres</w:t>
      </w:r>
      <w:proofErr w:type="spellEnd"/>
      <w:r w:rsidR="00632F26" w:rsidRPr="00632F26">
        <w:rPr>
          <w:rFonts w:ascii="Calibri" w:eastAsia="Times New Roman" w:hAnsi="Calibri" w:cs="Times New Roman"/>
          <w:color w:val="000000"/>
        </w:rPr>
        <w:t xml:space="preserve"> </w:t>
      </w:r>
    </w:p>
    <w:p w:rsidR="00632F26" w:rsidRPr="005F14F5" w:rsidRDefault="00632F26" w:rsidP="00632F26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Gas contamination — Measurements methods for field tests</w:t>
      </w:r>
      <w:r w:rsidRPr="005F14F5">
        <w:rPr>
          <w:rFonts w:ascii="Calibri" w:eastAsia="Times New Roman" w:hAnsi="Calibri" w:cs="Times New Roman"/>
          <w:color w:val="000000"/>
        </w:rPr>
        <w:t xml:space="preserve"> </w:t>
      </w:r>
    </w:p>
    <w:p w:rsidR="008B649C" w:rsidRPr="00E03713" w:rsidRDefault="00632F26" w:rsidP="00632F26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Fluid characteristics — Parts 1-13</w:t>
      </w:r>
    </w:p>
    <w:p w:rsidR="00E03713" w:rsidRPr="00E03713" w:rsidRDefault="00E03713" w:rsidP="00632F26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 w:rsidRPr="00E03713">
        <w:rPr>
          <w:rFonts w:ascii="Calibri" w:eastAsia="Times New Roman" w:hAnsi="Calibri" w:cs="Times New Roman"/>
          <w:i/>
          <w:color w:val="FF0000"/>
        </w:rPr>
        <w:t>Reliability and Maintainability</w:t>
      </w:r>
    </w:p>
    <w:p w:rsidR="00E7539C" w:rsidRDefault="00E7539C" w:rsidP="00E7539C">
      <w:pPr>
        <w:pStyle w:val="ListParagraph"/>
        <w:numPr>
          <w:ilvl w:val="0"/>
          <w:numId w:val="1"/>
        </w:numPr>
        <w:rPr>
          <w:b/>
        </w:rPr>
      </w:pPr>
      <w:r w:rsidRPr="00E7539C">
        <w:rPr>
          <w:b/>
        </w:rPr>
        <w:t>Launch, Orbit Insertion, and Early Onboard Operations</w:t>
      </w:r>
      <w:r w:rsidR="00945341">
        <w:rPr>
          <w:b/>
        </w:rPr>
        <w:t xml:space="preserve"> (China)</w:t>
      </w:r>
    </w:p>
    <w:p w:rsidR="00632F26" w:rsidRPr="00632F26" w:rsidRDefault="005F14F5" w:rsidP="00632F26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Relative motion analysis elements after LV/SC separation</w:t>
      </w:r>
    </w:p>
    <w:p w:rsidR="005F14F5" w:rsidRPr="00632F26" w:rsidRDefault="00632F26" w:rsidP="00632F26">
      <w:pPr>
        <w:pStyle w:val="ListParagraph"/>
        <w:numPr>
          <w:ilvl w:val="1"/>
          <w:numId w:val="1"/>
        </w:numPr>
        <w:rPr>
          <w:b/>
        </w:rPr>
      </w:pPr>
      <w:r w:rsidRPr="00632F26">
        <w:rPr>
          <w:rFonts w:ascii="Calibri" w:eastAsia="Times New Roman" w:hAnsi="Calibri" w:cs="Times New Roman"/>
          <w:color w:val="000000"/>
        </w:rPr>
        <w:t xml:space="preserve"> </w:t>
      </w:r>
      <w:r w:rsidRPr="00674364">
        <w:rPr>
          <w:rFonts w:ascii="Calibri" w:eastAsia="Times New Roman" w:hAnsi="Calibri" w:cs="Times New Roman"/>
          <w:color w:val="000000"/>
        </w:rPr>
        <w:t>Space systems – Calculation of orbit elements at spacecraft - Launch vehicle separation</w:t>
      </w:r>
    </w:p>
    <w:p w:rsidR="00E7539C" w:rsidRDefault="00E7539C" w:rsidP="00E7539C">
      <w:pPr>
        <w:pStyle w:val="ListParagraph"/>
        <w:numPr>
          <w:ilvl w:val="0"/>
          <w:numId w:val="1"/>
        </w:numPr>
        <w:rPr>
          <w:b/>
        </w:rPr>
      </w:pPr>
      <w:r w:rsidRPr="00E7539C">
        <w:rPr>
          <w:b/>
        </w:rPr>
        <w:t>Spacecraft transportation, launch, and on orbit safety.</w:t>
      </w:r>
      <w:r w:rsidR="00945341">
        <w:rPr>
          <w:b/>
        </w:rPr>
        <w:t xml:space="preserve"> (Russia)</w:t>
      </w:r>
    </w:p>
    <w:p w:rsidR="00674364" w:rsidRPr="00674364" w:rsidRDefault="00674364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Safety requirements — Part 1: System safety</w:t>
      </w:r>
    </w:p>
    <w:p w:rsidR="00674364" w:rsidRPr="00674364" w:rsidRDefault="00674364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Safety requirements — Part 2: Launch site operations</w:t>
      </w:r>
    </w:p>
    <w:p w:rsidR="00674364" w:rsidRPr="006D47A3" w:rsidRDefault="00674364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Ground support equipment for use at launch, landing, or retrieval sites — General requirements</w:t>
      </w:r>
    </w:p>
    <w:p w:rsidR="006D47A3" w:rsidRPr="006D47A3" w:rsidRDefault="006D47A3" w:rsidP="00674364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Safety requirements — Part 3: Flight safety systems</w:t>
      </w:r>
    </w:p>
    <w:p w:rsidR="006D47A3" w:rsidRPr="00674364" w:rsidRDefault="006D47A3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 xml:space="preserve">Space systems — Flight to ground </w:t>
      </w:r>
      <w:proofErr w:type="spellStart"/>
      <w:r w:rsidRPr="00674364">
        <w:rPr>
          <w:rFonts w:ascii="Calibri" w:eastAsia="Times New Roman" w:hAnsi="Calibri" w:cs="Times New Roman"/>
          <w:color w:val="000000"/>
        </w:rPr>
        <w:t>umbilicals</w:t>
      </w:r>
      <w:proofErr w:type="spellEnd"/>
    </w:p>
    <w:p w:rsidR="006D47A3" w:rsidRPr="006D47A3" w:rsidRDefault="006D47A3" w:rsidP="008A7E08">
      <w:pPr>
        <w:pStyle w:val="ListParagraph"/>
        <w:numPr>
          <w:ilvl w:val="2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 xml:space="preserve">Space systems — Flight to ground </w:t>
      </w:r>
      <w:proofErr w:type="spellStart"/>
      <w:r w:rsidRPr="00674364">
        <w:rPr>
          <w:rFonts w:ascii="Calibri" w:eastAsia="Times New Roman" w:hAnsi="Calibri" w:cs="Times New Roman"/>
          <w:color w:val="000000"/>
        </w:rPr>
        <w:t>umbilicals</w:t>
      </w:r>
      <w:proofErr w:type="spellEnd"/>
      <w:r w:rsidRPr="00674364">
        <w:rPr>
          <w:rFonts w:ascii="Calibri" w:eastAsia="Times New Roman" w:hAnsi="Calibri" w:cs="Times New Roman"/>
          <w:color w:val="000000"/>
        </w:rPr>
        <w:t xml:space="preserve"> — Amendment 1: Add Annex A, Prevention of accidental cross connection</w:t>
      </w:r>
    </w:p>
    <w:p w:rsidR="005F14F5" w:rsidRPr="00E7539C" w:rsidRDefault="005F14F5" w:rsidP="005F14F5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Launch pad and integration site — Analysis of failures</w:t>
      </w:r>
    </w:p>
    <w:p w:rsidR="005F14F5" w:rsidRPr="005F14F5" w:rsidRDefault="005F14F5" w:rsidP="005F14F5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Unmanned  spacecraft transportation — General requirements</w:t>
      </w:r>
    </w:p>
    <w:p w:rsidR="00EB45CB" w:rsidRPr="00EB45CB" w:rsidRDefault="005F14F5" w:rsidP="00EB45CB">
      <w:pPr>
        <w:pStyle w:val="ListParagraph"/>
        <w:numPr>
          <w:ilvl w:val="1"/>
          <w:numId w:val="1"/>
        </w:numPr>
        <w:rPr>
          <w:b/>
        </w:rPr>
      </w:pPr>
      <w:r w:rsidRPr="005F14F5">
        <w:rPr>
          <w:rFonts w:ascii="Calibri" w:eastAsia="Times New Roman" w:hAnsi="Calibri" w:cs="Times New Roman"/>
          <w:color w:val="000000"/>
        </w:rPr>
        <w:lastRenderedPageBreak/>
        <w:t>Space systems — Launch and integration site general test requirements</w:t>
      </w:r>
    </w:p>
    <w:p w:rsidR="00F13F48" w:rsidRPr="00F13F48" w:rsidRDefault="00EB45CB" w:rsidP="00EB45CB">
      <w:pPr>
        <w:pStyle w:val="ListParagraph"/>
        <w:numPr>
          <w:ilvl w:val="1"/>
          <w:numId w:val="1"/>
        </w:numPr>
        <w:rPr>
          <w:b/>
        </w:rPr>
      </w:pPr>
      <w:r w:rsidRPr="00EB45CB">
        <w:rPr>
          <w:rFonts w:ascii="Calibri" w:eastAsia="Times New Roman" w:hAnsi="Calibri" w:cs="Times New Roman"/>
          <w:color w:val="000000"/>
        </w:rPr>
        <w:t>Space systems — Launch pad and integration site operational documents</w:t>
      </w:r>
    </w:p>
    <w:p w:rsidR="00EB45CB" w:rsidRPr="00E03713" w:rsidRDefault="00F13F48" w:rsidP="00EB45CB">
      <w:pPr>
        <w:pStyle w:val="ListParagraph"/>
        <w:numPr>
          <w:ilvl w:val="1"/>
          <w:numId w:val="1"/>
        </w:numPr>
        <w:rPr>
          <w:b/>
        </w:rPr>
      </w:pPr>
      <w:r w:rsidRPr="00F13F48">
        <w:rPr>
          <w:rFonts w:ascii="Calibri" w:eastAsia="Times New Roman" w:hAnsi="Calibri" w:cs="Times New Roman"/>
          <w:color w:val="000000"/>
        </w:rPr>
        <w:t xml:space="preserve"> </w:t>
      </w:r>
      <w:r w:rsidRPr="00674364">
        <w:rPr>
          <w:rFonts w:ascii="Calibri" w:eastAsia="Times New Roman" w:hAnsi="Calibri" w:cs="Times New Roman"/>
          <w:color w:val="000000"/>
        </w:rPr>
        <w:t>Space systems — Relative motion analysis elements after LV/SC separation</w:t>
      </w:r>
    </w:p>
    <w:p w:rsidR="00E03713" w:rsidRPr="00F13F48" w:rsidRDefault="00E03713" w:rsidP="00E03713">
      <w:pPr>
        <w:pStyle w:val="ListParagraph"/>
        <w:ind w:left="1440"/>
        <w:rPr>
          <w:b/>
        </w:rPr>
      </w:pPr>
      <w:bookmarkStart w:id="0" w:name="_GoBack"/>
      <w:bookmarkEnd w:id="0"/>
    </w:p>
    <w:p w:rsidR="006D47A3" w:rsidRDefault="006D47A3" w:rsidP="006D47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Spacecraft Disposal and End of Life (France)</w:t>
      </w:r>
    </w:p>
    <w:p w:rsidR="006D47A3" w:rsidRPr="006D47A3" w:rsidRDefault="006D47A3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Unmanned mission operations concepts — Guidelines</w:t>
      </w:r>
    </w:p>
    <w:p w:rsidR="005F14F5" w:rsidRPr="005F14F5" w:rsidRDefault="005F14F5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Disposal of satellites operating in or crossing Low Earth Orbit</w:t>
      </w:r>
    </w:p>
    <w:p w:rsidR="005F14F5" w:rsidRPr="00EB45CB" w:rsidRDefault="005F14F5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Disposal of orbital launch stages</w:t>
      </w:r>
    </w:p>
    <w:p w:rsidR="00EB45CB" w:rsidRPr="00EB45CB" w:rsidRDefault="00EB45CB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Design and operation manual for spacecraft operated in the debris environment</w:t>
      </w:r>
    </w:p>
    <w:p w:rsidR="00EB45CB" w:rsidRPr="00F13F48" w:rsidRDefault="00EB45CB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Orbital debris, routes to compliance and management for debris mitigation</w:t>
      </w:r>
    </w:p>
    <w:p w:rsidR="00F13F48" w:rsidRPr="00F13F48" w:rsidRDefault="00F13F48" w:rsidP="006D47A3">
      <w:pPr>
        <w:pStyle w:val="ListParagraph"/>
        <w:numPr>
          <w:ilvl w:val="1"/>
          <w:numId w:val="1"/>
        </w:numPr>
        <w:rPr>
          <w:b/>
        </w:rPr>
      </w:pPr>
      <w:r w:rsidRPr="00674364">
        <w:rPr>
          <w:rFonts w:ascii="Calibri" w:eastAsia="Times New Roman" w:hAnsi="Calibri" w:cs="Times New Roman"/>
          <w:color w:val="000000"/>
        </w:rPr>
        <w:t>Space systems — Disposal of satellites operating at geosynchronous altitude</w:t>
      </w:r>
    </w:p>
    <w:p w:rsidR="00674364" w:rsidRDefault="00674364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Default="006D47A3" w:rsidP="006D47A3">
      <w:pPr>
        <w:rPr>
          <w:b/>
        </w:rPr>
      </w:pPr>
    </w:p>
    <w:p w:rsidR="006D47A3" w:rsidRPr="006D47A3" w:rsidRDefault="006D47A3" w:rsidP="006D47A3">
      <w:pPr>
        <w:rPr>
          <w:b/>
        </w:rPr>
      </w:pPr>
    </w:p>
    <w:p w:rsidR="00945341" w:rsidRPr="00E7539C" w:rsidRDefault="00945341">
      <w:pPr>
        <w:rPr>
          <w:b/>
        </w:rPr>
      </w:pPr>
    </w:p>
    <w:sectPr w:rsidR="00945341" w:rsidRPr="00E7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337B"/>
    <w:multiLevelType w:val="hybridMultilevel"/>
    <w:tmpl w:val="48B2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9C"/>
    <w:rsid w:val="001311D1"/>
    <w:rsid w:val="00325007"/>
    <w:rsid w:val="003B721A"/>
    <w:rsid w:val="004D1F02"/>
    <w:rsid w:val="005F14F5"/>
    <w:rsid w:val="00632F26"/>
    <w:rsid w:val="00674364"/>
    <w:rsid w:val="006D47A3"/>
    <w:rsid w:val="008A7E08"/>
    <w:rsid w:val="008B649C"/>
    <w:rsid w:val="008C10BD"/>
    <w:rsid w:val="00945341"/>
    <w:rsid w:val="00B76F18"/>
    <w:rsid w:val="00CA2DF1"/>
    <w:rsid w:val="00E03713"/>
    <w:rsid w:val="00E7539C"/>
    <w:rsid w:val="00EB45CB"/>
    <w:rsid w:val="00F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Finkleman, Dave</dc:creator>
  <cp:lastModifiedBy>Finkleman, Dave</cp:lastModifiedBy>
  <cp:revision>11</cp:revision>
  <dcterms:created xsi:type="dcterms:W3CDTF">2013-04-15T09:06:00Z</dcterms:created>
  <dcterms:modified xsi:type="dcterms:W3CDTF">2013-04-16T11:44:00Z</dcterms:modified>
</cp:coreProperties>
</file>